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4DAEC" w14:textId="731683AE" w:rsidR="00D064D0" w:rsidRDefault="00A85377" w:rsidP="00D064D0">
      <w:pPr>
        <w:ind w:left="5040" w:firstLine="720"/>
        <w:jc w:val="center"/>
        <w:rPr>
          <w:b/>
          <w:bCs/>
          <w:sz w:val="28"/>
          <w:szCs w:val="28"/>
        </w:rPr>
      </w:pPr>
      <w:r>
        <w:rPr>
          <w:b/>
          <w:bCs/>
          <w:noProof/>
          <w:sz w:val="28"/>
          <w:szCs w:val="28"/>
        </w:rPr>
        <w:drawing>
          <wp:inline distT="0" distB="0" distL="0" distR="0" wp14:anchorId="5FEDCE73" wp14:editId="1EAD22A3">
            <wp:extent cx="2103120" cy="688975"/>
            <wp:effectExtent l="0" t="0" r="0" b="0"/>
            <wp:docPr id="672775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3120" cy="688975"/>
                    </a:xfrm>
                    <a:prstGeom prst="rect">
                      <a:avLst/>
                    </a:prstGeom>
                    <a:noFill/>
                  </pic:spPr>
                </pic:pic>
              </a:graphicData>
            </a:graphic>
          </wp:inline>
        </w:drawing>
      </w:r>
    </w:p>
    <w:p w14:paraId="5789391A" w14:textId="77777777" w:rsidR="00D064D0" w:rsidRDefault="00D064D0" w:rsidP="00D064D0">
      <w:pPr>
        <w:jc w:val="center"/>
        <w:rPr>
          <w:b/>
          <w:bCs/>
          <w:sz w:val="28"/>
          <w:szCs w:val="28"/>
        </w:rPr>
      </w:pPr>
    </w:p>
    <w:p w14:paraId="23E7CF8E" w14:textId="2B49CE4D" w:rsidR="00F66DCE" w:rsidRDefault="00C5184E" w:rsidP="00D064D0">
      <w:pPr>
        <w:jc w:val="center"/>
        <w:rPr>
          <w:b/>
          <w:bCs/>
          <w:sz w:val="28"/>
          <w:szCs w:val="28"/>
        </w:rPr>
      </w:pPr>
      <w:r>
        <w:rPr>
          <w:b/>
          <w:bCs/>
          <w:sz w:val="28"/>
          <w:szCs w:val="28"/>
        </w:rPr>
        <w:t xml:space="preserve">THE </w:t>
      </w:r>
      <w:r w:rsidR="00F66DCE" w:rsidRPr="00F66DCE">
        <w:rPr>
          <w:b/>
          <w:bCs/>
          <w:sz w:val="28"/>
          <w:szCs w:val="28"/>
        </w:rPr>
        <w:t xml:space="preserve">PROCUREMENT </w:t>
      </w:r>
      <w:r w:rsidR="00D064D0">
        <w:rPr>
          <w:b/>
          <w:bCs/>
          <w:sz w:val="28"/>
          <w:szCs w:val="28"/>
        </w:rPr>
        <w:t xml:space="preserve">ACT </w:t>
      </w:r>
      <w:r w:rsidR="00F66DCE" w:rsidRPr="00F66DCE">
        <w:rPr>
          <w:b/>
          <w:bCs/>
          <w:sz w:val="28"/>
          <w:szCs w:val="28"/>
        </w:rPr>
        <w:t>202</w:t>
      </w:r>
      <w:r w:rsidR="00E114D2">
        <w:rPr>
          <w:b/>
          <w:bCs/>
          <w:sz w:val="28"/>
          <w:szCs w:val="28"/>
        </w:rPr>
        <w:t>3 – SUPPLIER BRIEFING</w:t>
      </w:r>
    </w:p>
    <w:p w14:paraId="0BFC437B" w14:textId="77777777" w:rsidR="00E114D2" w:rsidRDefault="00E114D2" w:rsidP="00F66DCE"/>
    <w:p w14:paraId="7C6BE159" w14:textId="0FAF1151" w:rsidR="00E114D2" w:rsidRDefault="00E114D2" w:rsidP="00F66DCE">
      <w:r>
        <w:t xml:space="preserve">As a valued supplier to </w:t>
      </w:r>
      <w:r w:rsidR="00B516A4">
        <w:t>Greater Manchester Combined Authority</w:t>
      </w:r>
      <w:r>
        <w:t xml:space="preserve">, it is important that we brief you in consideration of the forthcoming changes to procurement regulations that will be in place from </w:t>
      </w:r>
      <w:r w:rsidR="00032C0D">
        <w:t>February 2025</w:t>
      </w:r>
      <w:r>
        <w:t>.</w:t>
      </w:r>
    </w:p>
    <w:p w14:paraId="7789A1E3" w14:textId="2FF344CB" w:rsidR="00F66DCE" w:rsidRPr="00F66DCE" w:rsidRDefault="007C77D4" w:rsidP="00F66DCE">
      <w:r>
        <w:t xml:space="preserve">New </w:t>
      </w:r>
      <w:r w:rsidR="00E114D2">
        <w:t>Procurement Regulations wil</w:t>
      </w:r>
      <w:r>
        <w:t xml:space="preserve">l </w:t>
      </w:r>
      <w:r w:rsidR="00E114D2">
        <w:t>go live s</w:t>
      </w:r>
      <w:r w:rsidR="004A021B">
        <w:t>hortly</w:t>
      </w:r>
      <w:r w:rsidR="00E114D2">
        <w:t xml:space="preserve"> with </w:t>
      </w:r>
      <w:r w:rsidR="00F66DCE" w:rsidRPr="00F66DCE">
        <w:t>Cabinet Office</w:t>
      </w:r>
      <w:r w:rsidR="00E114D2">
        <w:t xml:space="preserve"> confirming</w:t>
      </w:r>
      <w:r w:rsidR="00F66DCE" w:rsidRPr="00F66DCE">
        <w:t xml:space="preserve"> that the new procurement regime under PCR2023 will officially go live on </w:t>
      </w:r>
      <w:r w:rsidR="00A372EE">
        <w:rPr>
          <w:b/>
          <w:bCs/>
        </w:rPr>
        <w:t>February 24</w:t>
      </w:r>
      <w:r w:rsidR="00A372EE" w:rsidRPr="00A372EE">
        <w:rPr>
          <w:b/>
          <w:bCs/>
          <w:vertAlign w:val="superscript"/>
        </w:rPr>
        <w:t>th</w:t>
      </w:r>
      <w:proofErr w:type="gramStart"/>
      <w:r w:rsidR="00A372EE">
        <w:rPr>
          <w:b/>
          <w:bCs/>
        </w:rPr>
        <w:t xml:space="preserve"> 2025</w:t>
      </w:r>
      <w:proofErr w:type="gramEnd"/>
      <w:r w:rsidR="00F66DCE" w:rsidRPr="00995C3C">
        <w:rPr>
          <w:b/>
          <w:bCs/>
        </w:rPr>
        <w:t>.</w:t>
      </w:r>
    </w:p>
    <w:p w14:paraId="7C508328" w14:textId="16F1A8BC" w:rsidR="00E114D2" w:rsidRDefault="00F66DCE" w:rsidP="00F66DCE">
      <w:r w:rsidRPr="00F66DCE">
        <w:t xml:space="preserve">The table below gives details of the </w:t>
      </w:r>
      <w:r w:rsidR="00E114D2">
        <w:t xml:space="preserve">training and briefing </w:t>
      </w:r>
      <w:r w:rsidRPr="00F66DCE">
        <w:t>options available</w:t>
      </w:r>
      <w:r w:rsidR="00E114D2">
        <w:t xml:space="preserve"> from Cabinet Office for our suppliers.</w:t>
      </w:r>
      <w:r w:rsidR="00D064D0">
        <w:t xml:space="preserve"> </w:t>
      </w:r>
    </w:p>
    <w:p w14:paraId="401F696F" w14:textId="3431C783" w:rsidR="00D064D0" w:rsidRPr="00F66DCE" w:rsidRDefault="00D064D0" w:rsidP="00F66DCE">
      <w:r w:rsidRPr="00D064D0">
        <w:rPr>
          <w:noProof/>
          <w:color w:val="FFFFFF" w:themeColor="background1"/>
          <w:sz w:val="24"/>
          <w:szCs w:val="24"/>
        </w:rPr>
        <mc:AlternateContent>
          <mc:Choice Requires="wps">
            <w:drawing>
              <wp:anchor distT="0" distB="0" distL="114300" distR="114300" simplePos="0" relativeHeight="251659264" behindDoc="0" locked="0" layoutInCell="1" allowOverlap="1" wp14:anchorId="74BFAA54" wp14:editId="351C9C0F">
                <wp:simplePos x="0" y="0"/>
                <wp:positionH relativeFrom="margin">
                  <wp:align>left</wp:align>
                </wp:positionH>
                <wp:positionV relativeFrom="paragraph">
                  <wp:posOffset>42545</wp:posOffset>
                </wp:positionV>
                <wp:extent cx="5581650" cy="381000"/>
                <wp:effectExtent l="0" t="0" r="19050" b="19050"/>
                <wp:wrapNone/>
                <wp:docPr id="1940207988" name="Rectangle: Rounded Corners 2"/>
                <wp:cNvGraphicFramePr/>
                <a:graphic xmlns:a="http://schemas.openxmlformats.org/drawingml/2006/main">
                  <a:graphicData uri="http://schemas.microsoft.com/office/word/2010/wordprocessingShape">
                    <wps:wsp>
                      <wps:cNvSpPr/>
                      <wps:spPr>
                        <a:xfrm>
                          <a:off x="0" y="0"/>
                          <a:ext cx="5581650" cy="381000"/>
                        </a:xfrm>
                        <a:prstGeom prst="roundRect">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E7EC392" w14:textId="31A54E7C" w:rsidR="00D064D0" w:rsidRPr="00D064D0" w:rsidRDefault="00D064D0" w:rsidP="00D064D0">
                            <w:pPr>
                              <w:jc w:val="center"/>
                              <w:rPr>
                                <w:sz w:val="28"/>
                                <w:szCs w:val="28"/>
                              </w:rPr>
                            </w:pPr>
                            <w:r w:rsidRPr="00D064D0">
                              <w:rPr>
                                <w:sz w:val="28"/>
                                <w:szCs w:val="28"/>
                              </w:rPr>
                              <w:t>Cabinet Office Procurement Act 2023 Training Options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BFAA54" id="Rectangle: Rounded Corners 2" o:spid="_x0000_s1026" style="position:absolute;margin-left:0;margin-top:3.35pt;width:439.5pt;height:30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" fillcolor="#002060" strokecolor="#09101d [484]" strokeweight="1pt">
                <v:stroke joinstyle="miter"/>
                <v:textbox>
                  <w:txbxContent>
                    <w:p w14:paraId="3E7EC392" w14:textId="31A54E7C" w:rsidR="00D064D0" w:rsidRPr="00D064D0" w:rsidRDefault="00D064D0" w:rsidP="00D064D0">
                      <w:pPr>
                        <w:jc w:val="center"/>
                        <w:rPr>
                          <w:sz w:val="28"/>
                          <w:szCs w:val="28"/>
                        </w:rPr>
                      </w:pPr>
                      <w:r w:rsidRPr="00D064D0">
                        <w:rPr>
                          <w:sz w:val="28"/>
                          <w:szCs w:val="28"/>
                        </w:rPr>
                        <w:t>Cabinet Office Procurement Act 2023 Training Options</w:t>
                      </w:r>
                    </w:p>
                  </w:txbxContent>
                </v:textbox>
                <w10:wrap anchorx="margin"/>
              </v:roundrect>
            </w:pict>
          </mc:Fallback>
        </mc:AlternateContent>
      </w:r>
    </w:p>
    <w:p w14:paraId="486B5765" w14:textId="77777777" w:rsidR="00F66DCE" w:rsidRPr="00F66DCE" w:rsidRDefault="00F66DCE" w:rsidP="00F66DCE">
      <w:pPr>
        <w:rPr>
          <w:b/>
          <w:bCs/>
        </w:rPr>
      </w:pPr>
    </w:p>
    <w:tbl>
      <w:tblPr>
        <w:tblStyle w:val="TableGrid"/>
        <w:tblW w:w="0" w:type="auto"/>
        <w:tblInd w:w="-5" w:type="dxa"/>
        <w:tblLook w:val="04A0" w:firstRow="1" w:lastRow="0" w:firstColumn="1" w:lastColumn="0" w:noHBand="0" w:noVBand="1"/>
      </w:tblPr>
      <w:tblGrid>
        <w:gridCol w:w="8789"/>
      </w:tblGrid>
      <w:tr w:rsidR="00E114D2" w:rsidRPr="00D336F6" w14:paraId="331A7CE7" w14:textId="77777777" w:rsidTr="00E114D2">
        <w:tc>
          <w:tcPr>
            <w:tcW w:w="8789" w:type="dxa"/>
            <w:tcBorders>
              <w:bottom w:val="single" w:sz="4" w:space="0" w:color="auto"/>
            </w:tcBorders>
            <w:shd w:val="clear" w:color="auto" w:fill="4472C4" w:themeFill="accent1"/>
          </w:tcPr>
          <w:p w14:paraId="1DE03861" w14:textId="496E34AE" w:rsidR="00E114D2" w:rsidRPr="00D336F6" w:rsidRDefault="00E114D2">
            <w:pPr>
              <w:rPr>
                <w:b/>
                <w:bCs/>
              </w:rPr>
            </w:pPr>
            <w:r w:rsidRPr="00D336F6">
              <w:rPr>
                <w:b/>
                <w:bCs/>
              </w:rPr>
              <w:t>Knowledge Drops</w:t>
            </w:r>
          </w:p>
        </w:tc>
      </w:tr>
      <w:tr w:rsidR="00E114D2" w:rsidRPr="001678A6" w14:paraId="338E045A" w14:textId="77777777" w:rsidTr="00E114D2">
        <w:tc>
          <w:tcPr>
            <w:tcW w:w="8789" w:type="dxa"/>
            <w:shd w:val="clear" w:color="auto" w:fill="8EAADB" w:themeFill="accent1" w:themeFillTint="99"/>
          </w:tcPr>
          <w:p w14:paraId="0E706197" w14:textId="0495481C" w:rsidR="00E114D2" w:rsidRPr="001678A6" w:rsidRDefault="00E114D2">
            <w:pPr>
              <w:rPr>
                <w:b/>
                <w:bCs/>
              </w:rPr>
            </w:pPr>
            <w:r w:rsidRPr="001678A6">
              <w:rPr>
                <w:b/>
                <w:bCs/>
              </w:rPr>
              <w:t>What are they?</w:t>
            </w:r>
          </w:p>
        </w:tc>
      </w:tr>
      <w:tr w:rsidR="00E114D2" w:rsidRPr="00D336F6" w14:paraId="75749974" w14:textId="77777777" w:rsidTr="00E114D2">
        <w:tc>
          <w:tcPr>
            <w:tcW w:w="8789" w:type="dxa"/>
          </w:tcPr>
          <w:p w14:paraId="6A49BF25" w14:textId="2FC4829A" w:rsidR="00E114D2" w:rsidRPr="00D336F6" w:rsidRDefault="00E114D2">
            <w:pPr>
              <w:rPr>
                <w:rFonts w:cstheme="minorHAnsi"/>
                <w:color w:val="000000" w:themeColor="text1"/>
              </w:rPr>
            </w:pPr>
            <w:r w:rsidRPr="00D336F6">
              <w:rPr>
                <w:rFonts w:cstheme="minorHAnsi"/>
                <w:color w:val="000000" w:themeColor="text1"/>
                <w:shd w:val="clear" w:color="auto" w:fill="FCFCFC"/>
              </w:rPr>
              <w:t>Provide a high-level overview of the changes to the procurement regulations</w:t>
            </w:r>
          </w:p>
        </w:tc>
      </w:tr>
      <w:tr w:rsidR="00E114D2" w14:paraId="7A4D2C14" w14:textId="77777777" w:rsidTr="00E114D2">
        <w:tc>
          <w:tcPr>
            <w:tcW w:w="8789" w:type="dxa"/>
            <w:tcBorders>
              <w:bottom w:val="single" w:sz="4" w:space="0" w:color="auto"/>
            </w:tcBorders>
            <w:shd w:val="clear" w:color="auto" w:fill="FFC000" w:themeFill="accent4"/>
          </w:tcPr>
          <w:p w14:paraId="23251E39" w14:textId="77777777" w:rsidR="00E114D2" w:rsidRDefault="00E114D2"/>
          <w:p w14:paraId="161B9B85" w14:textId="77777777" w:rsidR="00A372EE" w:rsidRDefault="00A372EE"/>
        </w:tc>
      </w:tr>
      <w:tr w:rsidR="00E114D2" w:rsidRPr="001678A6" w14:paraId="6A397CAF" w14:textId="77777777" w:rsidTr="00E114D2">
        <w:tc>
          <w:tcPr>
            <w:tcW w:w="8789" w:type="dxa"/>
            <w:shd w:val="clear" w:color="auto" w:fill="B4C6E7" w:themeFill="accent1" w:themeFillTint="66"/>
          </w:tcPr>
          <w:p w14:paraId="7DA0F28C" w14:textId="60AA0C87" w:rsidR="00E114D2" w:rsidRPr="001678A6" w:rsidRDefault="00E114D2">
            <w:pPr>
              <w:rPr>
                <w:b/>
                <w:bCs/>
              </w:rPr>
            </w:pPr>
            <w:r w:rsidRPr="001678A6">
              <w:rPr>
                <w:b/>
                <w:bCs/>
              </w:rPr>
              <w:t>Who are they for?</w:t>
            </w:r>
          </w:p>
        </w:tc>
      </w:tr>
      <w:tr w:rsidR="00E114D2" w14:paraId="355D8A58" w14:textId="77777777" w:rsidTr="00E114D2">
        <w:tc>
          <w:tcPr>
            <w:tcW w:w="8789" w:type="dxa"/>
          </w:tcPr>
          <w:p w14:paraId="62B7FE6C" w14:textId="2A9B67A0" w:rsidR="00E114D2" w:rsidRPr="001678A6" w:rsidRDefault="00E114D2">
            <w:pPr>
              <w:rPr>
                <w:rFonts w:cstheme="minorHAnsi"/>
                <w:color w:val="000000" w:themeColor="text1"/>
              </w:rPr>
            </w:pPr>
            <w:r>
              <w:rPr>
                <w:rFonts w:cstheme="minorHAnsi"/>
                <w:color w:val="000000" w:themeColor="text1"/>
                <w:shd w:val="clear" w:color="auto" w:fill="FCFCFC"/>
              </w:rPr>
              <w:t xml:space="preserve">All </w:t>
            </w:r>
            <w:r w:rsidR="007C77D4">
              <w:rPr>
                <w:rFonts w:cstheme="minorHAnsi"/>
                <w:color w:val="000000" w:themeColor="text1"/>
                <w:shd w:val="clear" w:color="auto" w:fill="FCFCFC"/>
              </w:rPr>
              <w:t xml:space="preserve">GMCA / GMFRS </w:t>
            </w:r>
            <w:r>
              <w:rPr>
                <w:rFonts w:cstheme="minorHAnsi"/>
                <w:color w:val="000000" w:themeColor="text1"/>
                <w:shd w:val="clear" w:color="auto" w:fill="FCFCFC"/>
              </w:rPr>
              <w:t>suppliers who</w:t>
            </w:r>
            <w:r w:rsidRPr="001678A6">
              <w:rPr>
                <w:rFonts w:cstheme="minorHAnsi"/>
                <w:color w:val="000000" w:themeColor="text1"/>
                <w:shd w:val="clear" w:color="auto" w:fill="FCFCFC"/>
              </w:rPr>
              <w:t xml:space="preserve"> would need some material level of understanding of the new legislation, such as:</w:t>
            </w:r>
          </w:p>
        </w:tc>
      </w:tr>
      <w:tr w:rsidR="00E114D2" w14:paraId="47598419" w14:textId="77777777" w:rsidTr="00E114D2">
        <w:tc>
          <w:tcPr>
            <w:tcW w:w="8789" w:type="dxa"/>
            <w:tcBorders>
              <w:bottom w:val="single" w:sz="4" w:space="0" w:color="auto"/>
            </w:tcBorders>
          </w:tcPr>
          <w:p w14:paraId="5E2D8617" w14:textId="60529ADF" w:rsidR="00E114D2" w:rsidRDefault="00E114D2" w:rsidP="001678A6">
            <w:pPr>
              <w:numPr>
                <w:ilvl w:val="0"/>
                <w:numId w:val="1"/>
              </w:numPr>
              <w:shd w:val="clear" w:color="auto" w:fill="FCFCFC"/>
              <w:textAlignment w:val="baseline"/>
              <w:rPr>
                <w:rFonts w:eastAsia="Times New Roman" w:cstheme="minorHAnsi"/>
                <w:color w:val="000000" w:themeColor="text1"/>
                <w:kern w:val="0"/>
                <w:lang w:eastAsia="en-GB"/>
                <w14:ligatures w14:val="none"/>
              </w:rPr>
            </w:pPr>
            <w:r>
              <w:rPr>
                <w:rFonts w:eastAsia="Times New Roman" w:cstheme="minorHAnsi"/>
                <w:color w:val="000000" w:themeColor="text1"/>
                <w:kern w:val="0"/>
                <w:lang w:eastAsia="en-GB"/>
                <w14:ligatures w14:val="none"/>
              </w:rPr>
              <w:t>Suppliers responding to tenders previously issued via Find a Tender or Contracts Finder</w:t>
            </w:r>
          </w:p>
          <w:p w14:paraId="5CC92D8C" w14:textId="0782E272" w:rsidR="00E114D2" w:rsidRDefault="00E114D2" w:rsidP="001678A6">
            <w:pPr>
              <w:numPr>
                <w:ilvl w:val="0"/>
                <w:numId w:val="1"/>
              </w:numPr>
              <w:shd w:val="clear" w:color="auto" w:fill="FCFCFC"/>
              <w:textAlignment w:val="baseline"/>
              <w:rPr>
                <w:rFonts w:eastAsia="Times New Roman" w:cstheme="minorHAnsi"/>
                <w:color w:val="000000" w:themeColor="text1"/>
                <w:kern w:val="0"/>
                <w:lang w:eastAsia="en-GB"/>
                <w14:ligatures w14:val="none"/>
              </w:rPr>
            </w:pPr>
            <w:r>
              <w:rPr>
                <w:rFonts w:eastAsia="Times New Roman" w:cstheme="minorHAnsi"/>
                <w:color w:val="000000" w:themeColor="text1"/>
                <w:kern w:val="0"/>
                <w:lang w:eastAsia="en-GB"/>
                <w14:ligatures w14:val="none"/>
              </w:rPr>
              <w:t>Suppliers who submit bids to be awarded a place on a framework</w:t>
            </w:r>
          </w:p>
          <w:p w14:paraId="056DB515" w14:textId="6F78A6B6" w:rsidR="00E114D2" w:rsidRDefault="00E114D2" w:rsidP="001678A6">
            <w:pPr>
              <w:numPr>
                <w:ilvl w:val="0"/>
                <w:numId w:val="1"/>
              </w:numPr>
              <w:shd w:val="clear" w:color="auto" w:fill="FCFCFC"/>
              <w:textAlignment w:val="baseline"/>
              <w:rPr>
                <w:rFonts w:eastAsia="Times New Roman" w:cstheme="minorHAnsi"/>
                <w:color w:val="000000" w:themeColor="text1"/>
                <w:kern w:val="0"/>
                <w:lang w:eastAsia="en-GB"/>
                <w14:ligatures w14:val="none"/>
              </w:rPr>
            </w:pPr>
            <w:r>
              <w:rPr>
                <w:rFonts w:eastAsia="Times New Roman" w:cstheme="minorHAnsi"/>
                <w:color w:val="000000" w:themeColor="text1"/>
                <w:kern w:val="0"/>
                <w:lang w:eastAsia="en-GB"/>
                <w14:ligatures w14:val="none"/>
              </w:rPr>
              <w:t>Suppliers who submit a bid to be awarded a place on a Dynamic Purchasing System</w:t>
            </w:r>
          </w:p>
          <w:p w14:paraId="62C91DBE" w14:textId="397EF1B4" w:rsidR="00E114D2" w:rsidRDefault="00E114D2" w:rsidP="001678A6">
            <w:pPr>
              <w:numPr>
                <w:ilvl w:val="0"/>
                <w:numId w:val="1"/>
              </w:numPr>
              <w:shd w:val="clear" w:color="auto" w:fill="FCFCFC"/>
              <w:textAlignment w:val="baseline"/>
              <w:rPr>
                <w:rFonts w:eastAsia="Times New Roman" w:cstheme="minorHAnsi"/>
                <w:color w:val="000000" w:themeColor="text1"/>
                <w:kern w:val="0"/>
                <w:lang w:eastAsia="en-GB"/>
                <w14:ligatures w14:val="none"/>
              </w:rPr>
            </w:pPr>
            <w:r>
              <w:rPr>
                <w:rFonts w:eastAsia="Times New Roman" w:cstheme="minorHAnsi"/>
                <w:color w:val="000000" w:themeColor="text1"/>
                <w:kern w:val="0"/>
                <w:lang w:eastAsia="en-GB"/>
                <w14:ligatures w14:val="none"/>
              </w:rPr>
              <w:t>Suppliers who respond to further competition requests for either a Framework or a Dynamic Purchasing System</w:t>
            </w:r>
          </w:p>
          <w:p w14:paraId="0D40EB91" w14:textId="4308307A" w:rsidR="00E114D2" w:rsidRPr="001678A6" w:rsidRDefault="00E114D2" w:rsidP="001678A6">
            <w:pPr>
              <w:numPr>
                <w:ilvl w:val="0"/>
                <w:numId w:val="1"/>
              </w:numPr>
              <w:shd w:val="clear" w:color="auto" w:fill="FCFCFC"/>
              <w:textAlignment w:val="baseline"/>
              <w:rPr>
                <w:rFonts w:eastAsia="Times New Roman" w:cstheme="minorHAnsi"/>
                <w:color w:val="000000" w:themeColor="text1"/>
                <w:kern w:val="0"/>
                <w:lang w:eastAsia="en-GB"/>
                <w14:ligatures w14:val="none"/>
              </w:rPr>
            </w:pPr>
            <w:r>
              <w:rPr>
                <w:rFonts w:eastAsia="Times New Roman" w:cstheme="minorHAnsi"/>
                <w:color w:val="000000" w:themeColor="text1"/>
                <w:kern w:val="0"/>
                <w:lang w:eastAsia="en-GB"/>
                <w14:ligatures w14:val="none"/>
              </w:rPr>
              <w:t>Suppliers who respond to Direct award options on a Framework</w:t>
            </w:r>
          </w:p>
          <w:p w14:paraId="609127E9" w14:textId="77777777" w:rsidR="00E114D2" w:rsidRPr="001678A6" w:rsidRDefault="00E114D2">
            <w:pPr>
              <w:rPr>
                <w:rFonts w:cstheme="minorHAnsi"/>
                <w:color w:val="000000" w:themeColor="text1"/>
              </w:rPr>
            </w:pPr>
          </w:p>
        </w:tc>
      </w:tr>
      <w:tr w:rsidR="00E114D2" w14:paraId="3252F4C4" w14:textId="77777777" w:rsidTr="00E114D2">
        <w:tc>
          <w:tcPr>
            <w:tcW w:w="8789" w:type="dxa"/>
            <w:tcBorders>
              <w:bottom w:val="single" w:sz="4" w:space="0" w:color="auto"/>
            </w:tcBorders>
            <w:shd w:val="clear" w:color="auto" w:fill="FFC000" w:themeFill="accent4"/>
          </w:tcPr>
          <w:p w14:paraId="7F463752" w14:textId="77777777" w:rsidR="00E114D2" w:rsidRDefault="00E114D2"/>
          <w:p w14:paraId="61AE8662" w14:textId="77777777" w:rsidR="00A372EE" w:rsidRDefault="00A372EE"/>
        </w:tc>
      </w:tr>
      <w:tr w:rsidR="00E114D2" w:rsidRPr="00BB4A48" w14:paraId="4BF61BE9" w14:textId="77777777" w:rsidTr="00E114D2">
        <w:tc>
          <w:tcPr>
            <w:tcW w:w="8789" w:type="dxa"/>
            <w:shd w:val="clear" w:color="auto" w:fill="B4C6E7" w:themeFill="accent1" w:themeFillTint="66"/>
          </w:tcPr>
          <w:p w14:paraId="3384DFAA" w14:textId="4E238B01" w:rsidR="00E114D2" w:rsidRPr="00BB4A48" w:rsidRDefault="00E114D2">
            <w:pPr>
              <w:rPr>
                <w:b/>
                <w:bCs/>
              </w:rPr>
            </w:pPr>
            <w:r w:rsidRPr="00BB4A48">
              <w:rPr>
                <w:b/>
                <w:bCs/>
              </w:rPr>
              <w:t>How do I access and when?</w:t>
            </w:r>
          </w:p>
        </w:tc>
      </w:tr>
      <w:tr w:rsidR="00E114D2" w14:paraId="1FB1589E" w14:textId="77777777" w:rsidTr="00E114D2">
        <w:tc>
          <w:tcPr>
            <w:tcW w:w="8789" w:type="dxa"/>
            <w:tcBorders>
              <w:bottom w:val="single" w:sz="4" w:space="0" w:color="auto"/>
            </w:tcBorders>
          </w:tcPr>
          <w:p w14:paraId="796F3FFC" w14:textId="77777777" w:rsidR="00E114D2" w:rsidRDefault="00E114D2"/>
          <w:p w14:paraId="0D7F04F5" w14:textId="57412682" w:rsidR="00E114D2" w:rsidRDefault="00E114D2">
            <w:pPr>
              <w:rPr>
                <w:rStyle w:val="Hyperlink"/>
              </w:rPr>
            </w:pPr>
            <w:hyperlink r:id="rId6" w:history="1">
              <w:r w:rsidRPr="00BB4A48">
                <w:rPr>
                  <w:rStyle w:val="Hyperlink"/>
                </w:rPr>
                <w:t xml:space="preserve">Available on </w:t>
              </w:r>
              <w:proofErr w:type="gramStart"/>
              <w:r w:rsidRPr="00BB4A48">
                <w:rPr>
                  <w:rStyle w:val="Hyperlink"/>
                </w:rPr>
                <w:t>the .</w:t>
              </w:r>
              <w:proofErr w:type="gramEnd"/>
              <w:r w:rsidRPr="00BB4A48">
                <w:rPr>
                  <w:rStyle w:val="Hyperlink"/>
                </w:rPr>
                <w:t>gov.uk website</w:t>
              </w:r>
            </w:hyperlink>
          </w:p>
          <w:p w14:paraId="543F8C90" w14:textId="77777777" w:rsidR="00E114D2" w:rsidRDefault="00E114D2">
            <w:pPr>
              <w:rPr>
                <w:rStyle w:val="Hyperlink"/>
              </w:rPr>
            </w:pPr>
          </w:p>
          <w:p w14:paraId="1A31A8ED" w14:textId="606AFF4C" w:rsidR="00E114D2" w:rsidRPr="00995C3C" w:rsidRDefault="00E114D2">
            <w:pPr>
              <w:rPr>
                <w:b/>
                <w:bCs/>
                <w:color w:val="FF0000"/>
              </w:rPr>
            </w:pPr>
            <w:r w:rsidRPr="00032C0D">
              <w:rPr>
                <w:rStyle w:val="Hyperlink"/>
                <w:b/>
                <w:bCs/>
                <w:color w:val="FF0000"/>
                <w:highlight w:val="green"/>
              </w:rPr>
              <w:t>Only the KD3 and KD3b Knowledge Drops are pertinent to suppliers</w:t>
            </w:r>
          </w:p>
          <w:p w14:paraId="2D689BC1" w14:textId="77777777" w:rsidR="00E114D2" w:rsidRDefault="00E114D2"/>
          <w:p w14:paraId="7FD54C04" w14:textId="77777777" w:rsidR="00E114D2" w:rsidRDefault="00E114D2"/>
          <w:p w14:paraId="3B99A398" w14:textId="487727EA" w:rsidR="00E114D2" w:rsidRDefault="00E114D2"/>
        </w:tc>
      </w:tr>
      <w:tr w:rsidR="00E114D2" w14:paraId="3E001463" w14:textId="77777777" w:rsidTr="00E114D2">
        <w:tc>
          <w:tcPr>
            <w:tcW w:w="8789" w:type="dxa"/>
            <w:tcBorders>
              <w:bottom w:val="single" w:sz="4" w:space="0" w:color="auto"/>
            </w:tcBorders>
            <w:shd w:val="clear" w:color="auto" w:fill="FFC000" w:themeFill="accent4"/>
          </w:tcPr>
          <w:p w14:paraId="03A3C2A0" w14:textId="77777777" w:rsidR="00E114D2" w:rsidRDefault="00E114D2"/>
          <w:p w14:paraId="4639A4EA" w14:textId="77777777" w:rsidR="00A372EE" w:rsidRDefault="00A372EE"/>
        </w:tc>
      </w:tr>
      <w:tr w:rsidR="00E114D2" w:rsidRPr="00BB4A48" w14:paraId="659ADA54" w14:textId="77777777" w:rsidTr="00E114D2">
        <w:tc>
          <w:tcPr>
            <w:tcW w:w="8789" w:type="dxa"/>
            <w:shd w:val="clear" w:color="auto" w:fill="B4C6E7" w:themeFill="accent1" w:themeFillTint="66"/>
          </w:tcPr>
          <w:p w14:paraId="241AE665" w14:textId="77777777" w:rsidR="00E114D2" w:rsidRPr="00BB4A48" w:rsidRDefault="00E114D2">
            <w:pPr>
              <w:rPr>
                <w:b/>
                <w:bCs/>
              </w:rPr>
            </w:pPr>
          </w:p>
        </w:tc>
      </w:tr>
      <w:tr w:rsidR="00E114D2" w14:paraId="0A6CE19C" w14:textId="77777777" w:rsidTr="00E114D2">
        <w:tc>
          <w:tcPr>
            <w:tcW w:w="8789" w:type="dxa"/>
            <w:tcBorders>
              <w:bottom w:val="single" w:sz="4" w:space="0" w:color="auto"/>
            </w:tcBorders>
          </w:tcPr>
          <w:p w14:paraId="43F68D19" w14:textId="05C85E3E" w:rsidR="00E114D2" w:rsidRDefault="00E114D2">
            <w:r>
              <w:lastRenderedPageBreak/>
              <w:t xml:space="preserve">6 X Knowledge Drops for </w:t>
            </w:r>
            <w:r w:rsidR="008E6FF5">
              <w:t>GMCA / GMFRS</w:t>
            </w:r>
            <w:r>
              <w:t xml:space="preserve"> suppliers including </w:t>
            </w:r>
          </w:p>
          <w:p w14:paraId="61673161" w14:textId="77777777" w:rsidR="00E114D2" w:rsidRDefault="00E114D2">
            <w:r>
              <w:t xml:space="preserve">YouTube videos </w:t>
            </w:r>
          </w:p>
          <w:p w14:paraId="3611D94F" w14:textId="36201E7C" w:rsidR="00E114D2" w:rsidRDefault="00E114D2">
            <w:r>
              <w:t>Supporting Factsheets</w:t>
            </w:r>
          </w:p>
          <w:p w14:paraId="00B6A4D5" w14:textId="1563F131" w:rsidR="00E114D2" w:rsidRDefault="00E114D2">
            <w:r>
              <w:t>Additional Information Sources</w:t>
            </w:r>
          </w:p>
        </w:tc>
      </w:tr>
      <w:tr w:rsidR="00E114D2" w14:paraId="2F4C6D29" w14:textId="77777777" w:rsidTr="00E114D2">
        <w:tc>
          <w:tcPr>
            <w:tcW w:w="8789" w:type="dxa"/>
            <w:shd w:val="clear" w:color="auto" w:fill="FFC000" w:themeFill="accent4"/>
          </w:tcPr>
          <w:p w14:paraId="69456CDD" w14:textId="77777777" w:rsidR="00E114D2" w:rsidRDefault="00E114D2"/>
          <w:p w14:paraId="0E17E741" w14:textId="77777777" w:rsidR="00A372EE" w:rsidRDefault="00A372EE"/>
        </w:tc>
      </w:tr>
    </w:tbl>
    <w:p w14:paraId="78502A98" w14:textId="77777777" w:rsidR="00E114D2" w:rsidRDefault="00E114D2" w:rsidP="002B5C0B">
      <w:pPr>
        <w:tabs>
          <w:tab w:val="left" w:pos="1590"/>
        </w:tabs>
      </w:pPr>
    </w:p>
    <w:p w14:paraId="085C4C0E" w14:textId="7D0CB6DC" w:rsidR="00821BA3" w:rsidRPr="00821BA3" w:rsidRDefault="0008061F" w:rsidP="00821BA3">
      <w:r w:rsidRPr="00D064D0">
        <w:rPr>
          <w:noProof/>
          <w:color w:val="FFFFFF" w:themeColor="background1"/>
          <w:sz w:val="24"/>
          <w:szCs w:val="24"/>
        </w:rPr>
        <mc:AlternateContent>
          <mc:Choice Requires="wps">
            <w:drawing>
              <wp:anchor distT="0" distB="0" distL="114300" distR="114300" simplePos="0" relativeHeight="251661312" behindDoc="0" locked="0" layoutInCell="1" allowOverlap="1" wp14:anchorId="6BD0027E" wp14:editId="25FC7D42">
                <wp:simplePos x="0" y="0"/>
                <wp:positionH relativeFrom="column">
                  <wp:posOffset>0</wp:posOffset>
                </wp:positionH>
                <wp:positionV relativeFrom="paragraph">
                  <wp:posOffset>0</wp:posOffset>
                </wp:positionV>
                <wp:extent cx="5476875" cy="381000"/>
                <wp:effectExtent l="0" t="0" r="28575" b="19050"/>
                <wp:wrapNone/>
                <wp:docPr id="1557042533" name="Rectangle: Rounded Corners 2"/>
                <wp:cNvGraphicFramePr/>
                <a:graphic xmlns:a="http://schemas.openxmlformats.org/drawingml/2006/main">
                  <a:graphicData uri="http://schemas.microsoft.com/office/word/2010/wordprocessingShape">
                    <wps:wsp>
                      <wps:cNvSpPr/>
                      <wps:spPr>
                        <a:xfrm>
                          <a:off x="0" y="0"/>
                          <a:ext cx="5476875" cy="381000"/>
                        </a:xfrm>
                        <a:prstGeom prst="roundRect">
                          <a:avLst/>
                        </a:prstGeom>
                        <a:solidFill>
                          <a:srgbClr val="002060"/>
                        </a:solidFill>
                        <a:ln w="12700" cap="flat" cmpd="sng" algn="ctr">
                          <a:solidFill>
                            <a:srgbClr val="4472C4">
                              <a:shade val="15000"/>
                            </a:srgbClr>
                          </a:solidFill>
                          <a:prstDash val="solid"/>
                          <a:miter lim="800000"/>
                        </a:ln>
                        <a:effectLst/>
                      </wps:spPr>
                      <wps:txbx>
                        <w:txbxContent>
                          <w:p w14:paraId="0D56F42A" w14:textId="14E8DC28" w:rsidR="0008061F" w:rsidRPr="00D064D0" w:rsidRDefault="0008061F" w:rsidP="0008061F">
                            <w:pPr>
                              <w:jc w:val="center"/>
                              <w:rPr>
                                <w:sz w:val="28"/>
                                <w:szCs w:val="28"/>
                              </w:rPr>
                            </w:pPr>
                            <w:r w:rsidRPr="00D064D0">
                              <w:rPr>
                                <w:sz w:val="28"/>
                                <w:szCs w:val="28"/>
                              </w:rPr>
                              <w:t xml:space="preserve">Cabinet Office Procurement Act 2023 </w:t>
                            </w:r>
                            <w:r>
                              <w:rPr>
                                <w:sz w:val="28"/>
                                <w:szCs w:val="28"/>
                              </w:rPr>
                              <w:t>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D0027E" id="_x0000_s1027" style="position:absolute;margin-left:0;margin-top:0;width:431.2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" fillcolor="#002060" strokecolor="#172c51" strokeweight="1pt">
                <v:stroke joinstyle="miter"/>
                <v:textbox>
                  <w:txbxContent>
                    <w:p w14:paraId="0D56F42A" w14:textId="14E8DC28" w:rsidR="0008061F" w:rsidRPr="00D064D0" w:rsidRDefault="0008061F" w:rsidP="0008061F">
                      <w:pPr>
                        <w:jc w:val="center"/>
                        <w:rPr>
                          <w:sz w:val="28"/>
                          <w:szCs w:val="28"/>
                        </w:rPr>
                      </w:pPr>
                      <w:r w:rsidRPr="00D064D0">
                        <w:rPr>
                          <w:sz w:val="28"/>
                          <w:szCs w:val="28"/>
                        </w:rPr>
                        <w:t xml:space="preserve">Cabinet Office Procurement Act 2023 </w:t>
                      </w:r>
                      <w:r>
                        <w:rPr>
                          <w:sz w:val="28"/>
                          <w:szCs w:val="28"/>
                        </w:rPr>
                        <w:t>Review</w:t>
                      </w:r>
                    </w:p>
                  </w:txbxContent>
                </v:textbox>
              </v:roundrect>
            </w:pict>
          </mc:Fallback>
        </mc:AlternateContent>
      </w:r>
    </w:p>
    <w:p w14:paraId="0AE2680A" w14:textId="77777777" w:rsidR="00821BA3" w:rsidRDefault="00821BA3" w:rsidP="00821BA3"/>
    <w:p w14:paraId="2D7D03B3" w14:textId="38EE1E97" w:rsidR="002F25A0" w:rsidRDefault="00E114D2" w:rsidP="002F25A0">
      <w:r>
        <w:t xml:space="preserve">It is recommended that all </w:t>
      </w:r>
      <w:r w:rsidR="008E6FF5">
        <w:t>GMCA / GMFRS</w:t>
      </w:r>
      <w:r>
        <w:t xml:space="preserve"> suppliers watch the videos available and take time to understand the resources available as the new Procurement Act will impact all business transacted through Public Sector Contracting Authorities where the value of the procurement exceeds the stated procurement thresholds</w:t>
      </w:r>
      <w:r w:rsidR="004A021B">
        <w:t xml:space="preserve"> (or where a Framework or Dynamic Purchasing system are utilised)</w:t>
      </w:r>
      <w:r>
        <w:t xml:space="preserve"> which as </w:t>
      </w:r>
      <w:r w:rsidR="005B3778">
        <w:t>of January 2025</w:t>
      </w:r>
      <w:r>
        <w:t xml:space="preserve"> are </w:t>
      </w:r>
      <w:r w:rsidR="000B143B">
        <w:t>a</w:t>
      </w:r>
      <w:r>
        <w:t>s follows:</w:t>
      </w:r>
    </w:p>
    <w:p w14:paraId="74EF19E5" w14:textId="0C44068D" w:rsidR="000B143B" w:rsidRDefault="00E114D2" w:rsidP="002F25A0">
      <w:pPr>
        <w:rPr>
          <w:b/>
          <w:bCs/>
        </w:rPr>
      </w:pPr>
      <w:r w:rsidRPr="000B143B">
        <w:rPr>
          <w:b/>
          <w:bCs/>
        </w:rPr>
        <w:t xml:space="preserve">Goods </w:t>
      </w:r>
      <w:r w:rsidR="000B143B">
        <w:rPr>
          <w:b/>
          <w:bCs/>
        </w:rPr>
        <w:t xml:space="preserve">    £139,688 inclusive of VAT</w:t>
      </w:r>
    </w:p>
    <w:p w14:paraId="2986D6FC" w14:textId="70046DA4" w:rsidR="00E114D2" w:rsidRPr="000B143B" w:rsidRDefault="00E114D2" w:rsidP="002F25A0">
      <w:pPr>
        <w:rPr>
          <w:b/>
          <w:bCs/>
        </w:rPr>
      </w:pPr>
      <w:r w:rsidRPr="000B143B">
        <w:rPr>
          <w:b/>
          <w:bCs/>
        </w:rPr>
        <w:t>Services</w:t>
      </w:r>
      <w:r w:rsidR="000B143B" w:rsidRPr="000B143B">
        <w:rPr>
          <w:b/>
          <w:bCs/>
        </w:rPr>
        <w:t xml:space="preserve"> £139,688 inclusive of VAT</w:t>
      </w:r>
    </w:p>
    <w:p w14:paraId="6D4EC654" w14:textId="4FD326A3" w:rsidR="00E114D2" w:rsidRDefault="00E114D2" w:rsidP="002F25A0">
      <w:pPr>
        <w:rPr>
          <w:b/>
          <w:bCs/>
        </w:rPr>
      </w:pPr>
      <w:r w:rsidRPr="000B143B">
        <w:rPr>
          <w:b/>
          <w:bCs/>
        </w:rPr>
        <w:t xml:space="preserve">Works </w:t>
      </w:r>
      <w:r w:rsidR="000B143B" w:rsidRPr="000B143B">
        <w:rPr>
          <w:b/>
          <w:bCs/>
        </w:rPr>
        <w:t xml:space="preserve">   £5,372,609 inclusive of VAT</w:t>
      </w:r>
    </w:p>
    <w:p w14:paraId="3BCE04EC" w14:textId="78923297" w:rsidR="00FE5EA1" w:rsidRDefault="000B143B" w:rsidP="002F25A0">
      <w:r>
        <w:t>Should you have any questions in consideration of the forthcoming changes, pleas</w:t>
      </w:r>
      <w:r w:rsidR="00FE5EA1">
        <w:t xml:space="preserve">e contact </w:t>
      </w:r>
      <w:hyperlink r:id="rId7" w:history="1">
        <w:r w:rsidR="00FE5EA1" w:rsidRPr="008A5680">
          <w:rPr>
            <w:rStyle w:val="Hyperlink"/>
          </w:rPr>
          <w:t>procurement@manchesterfire.gov.uk</w:t>
        </w:r>
      </w:hyperlink>
    </w:p>
    <w:p w14:paraId="4CA8B7CE" w14:textId="7446A65A" w:rsidR="000E0C3B" w:rsidRDefault="000E0C3B" w:rsidP="002F25A0">
      <w:r>
        <w:t>In addition, two supplementary communications from Cabinet Office are included within this pack. The first document discusses the new Central Digital Platform that will be introduced on February 24</w:t>
      </w:r>
      <w:r w:rsidRPr="000E0C3B">
        <w:rPr>
          <w:vertAlign w:val="superscript"/>
        </w:rPr>
        <w:t>th</w:t>
      </w:r>
      <w:proofErr w:type="gramStart"/>
      <w:r>
        <w:t xml:space="preserve"> 2025</w:t>
      </w:r>
      <w:proofErr w:type="gramEnd"/>
      <w:r>
        <w:t>. The second document provides a guide for suppliers directly from Cabinet Office and both contain contact email addresses should you have any additional questions.</w:t>
      </w:r>
    </w:p>
    <w:p w14:paraId="446FA625" w14:textId="77777777" w:rsidR="000E0C3B" w:rsidRPr="000B143B" w:rsidRDefault="000E0C3B" w:rsidP="002F25A0"/>
    <w:sectPr w:rsidR="000E0C3B" w:rsidRPr="000B1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965EA"/>
    <w:multiLevelType w:val="hybridMultilevel"/>
    <w:tmpl w:val="0204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576CC"/>
    <w:multiLevelType w:val="multilevel"/>
    <w:tmpl w:val="8E2C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C315CD"/>
    <w:multiLevelType w:val="multilevel"/>
    <w:tmpl w:val="0A1C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642D28"/>
    <w:multiLevelType w:val="multilevel"/>
    <w:tmpl w:val="1AA2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7337657">
    <w:abstractNumId w:val="2"/>
  </w:num>
  <w:num w:numId="2" w16cid:durableId="365640821">
    <w:abstractNumId w:val="3"/>
  </w:num>
  <w:num w:numId="3" w16cid:durableId="779881984">
    <w:abstractNumId w:val="1"/>
  </w:num>
  <w:num w:numId="4" w16cid:durableId="23193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F6"/>
    <w:rsid w:val="00032C0D"/>
    <w:rsid w:val="00064541"/>
    <w:rsid w:val="0008061F"/>
    <w:rsid w:val="00087AC2"/>
    <w:rsid w:val="000B143B"/>
    <w:rsid w:val="000C3E07"/>
    <w:rsid w:val="000E0C3B"/>
    <w:rsid w:val="00110A6A"/>
    <w:rsid w:val="001678A6"/>
    <w:rsid w:val="002B5C0B"/>
    <w:rsid w:val="002F25A0"/>
    <w:rsid w:val="003C56CC"/>
    <w:rsid w:val="003D7D5D"/>
    <w:rsid w:val="004403E5"/>
    <w:rsid w:val="004A021B"/>
    <w:rsid w:val="005B3778"/>
    <w:rsid w:val="006F1F07"/>
    <w:rsid w:val="0071153B"/>
    <w:rsid w:val="007C77D4"/>
    <w:rsid w:val="0081478B"/>
    <w:rsid w:val="00821BA3"/>
    <w:rsid w:val="008B1BED"/>
    <w:rsid w:val="008E6FF5"/>
    <w:rsid w:val="00931C20"/>
    <w:rsid w:val="00995C3C"/>
    <w:rsid w:val="00A372EE"/>
    <w:rsid w:val="00A85377"/>
    <w:rsid w:val="00B516A4"/>
    <w:rsid w:val="00B5249A"/>
    <w:rsid w:val="00BB4A48"/>
    <w:rsid w:val="00BF5F05"/>
    <w:rsid w:val="00C5184E"/>
    <w:rsid w:val="00CB7FB7"/>
    <w:rsid w:val="00D064D0"/>
    <w:rsid w:val="00D32CBE"/>
    <w:rsid w:val="00D336F6"/>
    <w:rsid w:val="00E114D2"/>
    <w:rsid w:val="00F21F92"/>
    <w:rsid w:val="00F66DCE"/>
    <w:rsid w:val="00FA7443"/>
    <w:rsid w:val="00FE5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42D662"/>
  <w15:chartTrackingRefBased/>
  <w15:docId w15:val="{47FEC84B-8285-43FD-8524-98170A0D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A48"/>
    <w:rPr>
      <w:color w:val="0563C1" w:themeColor="hyperlink"/>
      <w:u w:val="single"/>
    </w:rPr>
  </w:style>
  <w:style w:type="character" w:styleId="UnresolvedMention">
    <w:name w:val="Unresolved Mention"/>
    <w:basedOn w:val="DefaultParagraphFont"/>
    <w:uiPriority w:val="99"/>
    <w:semiHidden/>
    <w:unhideWhenUsed/>
    <w:rsid w:val="00BB4A48"/>
    <w:rPr>
      <w:color w:val="605E5C"/>
      <w:shd w:val="clear" w:color="auto" w:fill="E1DFDD"/>
    </w:rPr>
  </w:style>
  <w:style w:type="character" w:styleId="FollowedHyperlink">
    <w:name w:val="FollowedHyperlink"/>
    <w:basedOn w:val="DefaultParagraphFont"/>
    <w:uiPriority w:val="99"/>
    <w:semiHidden/>
    <w:unhideWhenUsed/>
    <w:rsid w:val="004403E5"/>
    <w:rPr>
      <w:color w:val="954F72" w:themeColor="followedHyperlink"/>
      <w:u w:val="single"/>
    </w:rPr>
  </w:style>
  <w:style w:type="paragraph" w:styleId="ListParagraph">
    <w:name w:val="List Paragraph"/>
    <w:basedOn w:val="Normal"/>
    <w:uiPriority w:val="34"/>
    <w:qFormat/>
    <w:rsid w:val="00FA7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05516">
      <w:bodyDiv w:val="1"/>
      <w:marLeft w:val="0"/>
      <w:marRight w:val="0"/>
      <w:marTop w:val="0"/>
      <w:marBottom w:val="0"/>
      <w:divBdr>
        <w:top w:val="none" w:sz="0" w:space="0" w:color="auto"/>
        <w:left w:val="none" w:sz="0" w:space="0" w:color="auto"/>
        <w:bottom w:val="none" w:sz="0" w:space="0" w:color="auto"/>
        <w:right w:val="none" w:sz="0" w:space="0" w:color="auto"/>
      </w:divBdr>
    </w:div>
    <w:div w:id="907305548">
      <w:bodyDiv w:val="1"/>
      <w:marLeft w:val="0"/>
      <w:marRight w:val="0"/>
      <w:marTop w:val="0"/>
      <w:marBottom w:val="0"/>
      <w:divBdr>
        <w:top w:val="none" w:sz="0" w:space="0" w:color="auto"/>
        <w:left w:val="none" w:sz="0" w:space="0" w:color="auto"/>
        <w:bottom w:val="none" w:sz="0" w:space="0" w:color="auto"/>
        <w:right w:val="none" w:sz="0" w:space="0" w:color="auto"/>
      </w:divBdr>
    </w:div>
    <w:div w:id="1257516677">
      <w:bodyDiv w:val="1"/>
      <w:marLeft w:val="0"/>
      <w:marRight w:val="0"/>
      <w:marTop w:val="0"/>
      <w:marBottom w:val="0"/>
      <w:divBdr>
        <w:top w:val="none" w:sz="0" w:space="0" w:color="auto"/>
        <w:left w:val="none" w:sz="0" w:space="0" w:color="auto"/>
        <w:bottom w:val="none" w:sz="0" w:space="0" w:color="auto"/>
        <w:right w:val="none" w:sz="0" w:space="0" w:color="auto"/>
      </w:divBdr>
    </w:div>
    <w:div w:id="1713071901">
      <w:bodyDiv w:val="1"/>
      <w:marLeft w:val="0"/>
      <w:marRight w:val="0"/>
      <w:marTop w:val="0"/>
      <w:marBottom w:val="0"/>
      <w:divBdr>
        <w:top w:val="none" w:sz="0" w:space="0" w:color="auto"/>
        <w:left w:val="none" w:sz="0" w:space="0" w:color="auto"/>
        <w:bottom w:val="none" w:sz="0" w:space="0" w:color="auto"/>
        <w:right w:val="none" w:sz="0" w:space="0" w:color="auto"/>
      </w:divBdr>
    </w:div>
    <w:div w:id="18283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manchesterf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the-official-transforming-public-procurement-knowledge-drop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Condon Pat (BFWML)</dc:creator>
  <cp:keywords/>
  <dc:description/>
  <cp:lastModifiedBy>Rossall, Lee</cp:lastModifiedBy>
  <cp:revision>3</cp:revision>
  <dcterms:created xsi:type="dcterms:W3CDTF">2025-01-10T13:48:00Z</dcterms:created>
  <dcterms:modified xsi:type="dcterms:W3CDTF">2025-01-21T09:37:00Z</dcterms:modified>
</cp:coreProperties>
</file>